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PRESSETEXT YNDLING</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color w:val="121212"/>
          <w:sz w:val="23"/>
          <w:szCs w:val="23"/>
          <w:shd w:fill="f9f9f9" w:val="clear"/>
        </w:rPr>
      </w:pPr>
      <w:r w:rsidDel="00000000" w:rsidR="00000000" w:rsidRPr="00000000">
        <w:rPr>
          <w:rFonts w:ascii="Helvetica Neue" w:cs="Helvetica Neue" w:eastAsia="Helvetica Neue" w:hAnsi="Helvetica Neue"/>
          <w:color w:val="121212"/>
          <w:sz w:val="23"/>
          <w:szCs w:val="23"/>
          <w:shd w:fill="f9f9f9" w:val="clear"/>
          <w:rtl w:val="0"/>
        </w:rPr>
        <w:t xml:space="preserve">Yndling is known for immersive soundscapes where shimmering guitars, expansive synths, and intimate vocals drift between dream pop, shoegaze, and trip-hop. Drawing inspiration from artists such as Cocteau Twins, Beach House, Portishead, Massive Attack, Mazzy Star, and Men I Trust, her music balances ethereal soundscapes with emotional depth, creating songs that feel both cinematic and deeply personal.</w:t>
      </w:r>
    </w:p>
    <w:p w:rsidR="00000000" w:rsidDel="00000000" w:rsidP="00000000" w:rsidRDefault="00000000" w:rsidRPr="00000000" w14:paraId="00000004">
      <w:pPr>
        <w:rPr>
          <w:b w:val="1"/>
          <w:bCs w:val="1"/>
        </w:rPr>
      </w:pPr>
      <w:r w:rsidDel="00000000" w:rsidR="00000000" w:rsidRPr="00000000">
        <w:rPr>
          <w:rFonts w:ascii="Helvetica Neue" w:cs="Helvetica Neue" w:eastAsia="Helvetica Neue" w:hAnsi="Helvetica Neue"/>
          <w:color w:val="121212"/>
          <w:sz w:val="23"/>
          <w:szCs w:val="23"/>
          <w:shd w:fill="f9f9f9" w:val="clear"/>
          <w:rtl w:val="0"/>
        </w:rPr>
        <w:t xml:space="preserve">On stage, Yndling translates her richly layered recordings into immersive live performances, where swirling textures, hypnotic rhythms, and haunting melodies invite audiences into her world. As her audience continues to grow internationally, she returns to the road throughout autumn 2026 with dates across China, the UK, and Europe, further establishing herself as one of the defining new voices in contemporary dream pop.</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